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2D" w:rsidRPr="00A3372D" w:rsidRDefault="00A3372D" w:rsidP="00A3372D">
      <w:pPr>
        <w:shd w:val="clear" w:color="auto" w:fill="FFFFFF"/>
        <w:spacing w:after="240" w:line="360" w:lineRule="atLeast"/>
        <w:rPr>
          <w:rFonts w:ascii="Bookman Old Style" w:eastAsia="Times New Roman" w:hAnsi="Bookman Old Style" w:cs="Times New Roman"/>
          <w:b/>
          <w:color w:val="002060"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222222"/>
          <w:kern w:val="36"/>
          <w:sz w:val="28"/>
          <w:szCs w:val="28"/>
          <w:lang w:val="uk-UA" w:eastAsia="ru-RU"/>
        </w:rPr>
        <w:t xml:space="preserve">                </w:t>
      </w:r>
      <w:r w:rsidRPr="00A3372D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  <w:lang w:eastAsia="ru-RU"/>
        </w:rPr>
        <w:t>Іноземна мова у дошкільному закладі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C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Методичні рекомендації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Іноземна мова дедалі наполегливіше входить у наше життя, інтегруючи українське суспільство зі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ітовим культурним простором. А відтак знання іноземних мов стає потребою часу, необхідним компонентом освіченості сучасної людини. Потрібна іноземна мова й нашим дітям. Звісно, не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вс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 вони читатимуть в оригіналі Шекспіра, Гейне, Дюма чи навчатимуться за кордоном, проте майже кожен із них слухатиме іноземну музику, дивитиметься фільми “подорожуватиме” Інтернетом, спілкуватиметься з іноземцями. Тож знання мов стане в пригоді. Вивчення хоча б однієї іноземної мови не лише розвине індивідуальні мовленнєві здібності дитини,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 й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створить передумови для оволодіння в подальшому іншими мовами, виховає толерантне ставлення до носіїв інших культур.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Про організацію навчання іноземної мови в дошкільному віці, йдеться у вміщених далі методичних порадах. Вони розроблені на основі аналі</w:t>
      </w:r>
      <w:proofErr w:type="gramStart"/>
      <w:r w:rsidRPr="00A3372D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зу й</w:t>
      </w:r>
      <w:proofErr w:type="gramEnd"/>
      <w:r w:rsidRPr="00A3372D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 xml:space="preserve"> узагальнення сучасних зарубіжних методик, кращого досвіду роботи українських дошкільних навчальних закладів, а також результатів наукового пошуку та практичних апробацій Т. М. Шкваріної, кандидата педагогічних наук, викладача методики навчання іно</w:t>
      </w:r>
      <w:r w:rsidRPr="00A3372D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softHyphen/>
        <w:t>земної мови Уманського державного педагогічного університету ім. П. Тичини.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Передумови успішного оволодіння іноземною мовою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Навчання дошкільнят іноземної мови віднесено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вар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іативного компонента Державного стандарту дошкіль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ної освіти. Іноземної мови можна навчати дітей і в сім’ї, і в освітньому закладі (дошкільному чи позашкільному). При цьому слід мати на увазі таку обов’язкову переду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мову: лише тоді, коли процес навчання будувати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меться на науково обґрунтованих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ідходах, він спри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ятиме своєчасній соціалізації особистості дитини, формуванню її особистісної культури (через знайомство з мовою та культурою іншого народу), розвиткові пізна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вальних психічних процесів (мислення, пам’яті, уваги, уяви, відчуттів, сприймання).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Специфіка оволодіння дошкільником іноземною мо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вою ті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сно пов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’язана з безпосередністю його сприйман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ня, відкритістю до спілкування, певною спонтанністю в опануванні нового знання.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Ві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домо: 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ік від народження до 6 (7) років є сензитивним періодом для мовленнєво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го розвитку особистості, яка зростає і розвивається. Численні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ідження психоло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гів, лінгвістів і педагогів засвідчують, що в цьому віці діти навчаються говорити майже без проблем. Це стосується як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ідної, так і нерідної (дру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гої) мови.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Запорукою успішного ово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лодіння малятами іноземною мовою є врахування </w:t>
      </w:r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softHyphen/>
        <w:t>гами 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 освітній роботі з ними </w:t>
      </w:r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анатомо-фізіологічних та </w:t>
      </w:r>
      <w:proofErr w:type="gramStart"/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псих</w:t>
      </w:r>
      <w:proofErr w:type="gramEnd"/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ічних особливостей дітей.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Без цього неможливо правильно визначити най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більш оптимальний час, коли варто починати знайомити дитину з іншою мовою, обрати найбільш раціональні форми, методи, прийоми та засоби навчання, дозувати матеріал.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Позаяк мовленнєвий апарат у дошкільнят дуже гнуч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кій, вони легко наслідують звуки та звукосполучення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ідної та нерідної мов. У подальшому правильна вимова закріплюється та зберігається на все життя. До того ж малюки вкрай чутливі до вимови, оскільки особливо сприйнятливі до фонетики та інтонації мовлення. Певні мовленнєві зразки зберігаються в їхній пам’яті у вигляді звукових комплексів, пригадуючи які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тих чи інших си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туаціях, діти керуються переважно власними слуховими уявленнями. При цьому іншомовні мовленнєві зразки сприймаються ними відокремлено від звукових комплек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сів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ідної мови. Дошкільнята не плутають і не змішують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ідну мову з іншою і завжди усвідомлюють, якою саме мовою розмовляють. А вже у більш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ізньому (шкільному) віці вони дещо втрачають попередню здатність легко й точно відтворювати звуки іноземної мови. І навіть тоді, коли опиняються в іноземному середовищі й досконало оволодівають чужою мовою — лексичним складом та граматичною будовою, у їхній вимові зберігається ак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цент рідної мови.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Ось чому</w:t>
      </w:r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вкрай важливо, щоб формування навичок правильної звуковимови починалося з дошкільного віку, а самі педагоги, які навчають дітей іноземної мови, вільно володіли розмовним мовленням і мали бездоганну вимову, інтонування.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Це унеможливить звикання дітей до неправильного вимовляння звуків, слі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 фраз нерідною мовою, застереже дорослих від сумної необхідності згодом переучувати, виправляти їх.</w:t>
      </w:r>
    </w:p>
    <w:p w:rsid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lastRenderedPageBreak/>
        <w:t>Особливості сприймання іноземної мови дошкільнятами.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t>Для психічного розвитку дитини дошкільного віку характерні швидкий темп і значна інтенсивність (відбува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softHyphen/>
        <w:t>ються істотні якісні зрушення у про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softHyphen/>
        <w:t>цесах сприймання, пам’яті, мислення, уваги, уяви, зароджується довільна ре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softHyphen/>
        <w:t xml:space="preserve">гуляція поведінки тощо).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Так,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пам’ять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дошкільняти має величезні можливос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ті. При цьому першорядне значення у навчанні його іноземної мови мають мимовільне запам’ятовування і пригадування. Малюк за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пам’ятовує слова та висловлювання спершу як позна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чення тих предметів, дій та властивостей, які він безпо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середньо сприймає і про які йому кажуть педагоги,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ідні, знайомі у своїх звертаннях до нього під час ігор, у побу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ті, щоденних справах.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Почувши певні слова та фрази, дитина спі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ідносить їх із певним об’єктом відповідно до ситуації мовлення, а відтак після багаторазового повторення запам’ятовує це. Перекладу ж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ідною мовою вона потребує здебільшого для уточнення значення слів, а не для запам’ятовуван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ня. Трохи згодом, наслідуючи дорослих, уже сама почи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нає використовувати певні іншомовні слова та синтаксичні конструкції. Спочатку вживає нечисленні автоматизова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ні мовленнєві зразки залежно від ситуації спілкування й розчленовує їх на окремі граматичні явища. Із накопи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ченням досвіду спілкування в дошкільняти утворюються неусвідомлені емпіричні мовні узагальнення, які є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ґрунтям поступового формування чуття мови й одним із найбільш важливих передумов правильної побудови ус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ного мовлення. Вміння утворювати за аналогією ре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чення з однаковою граматичною конструкцією і є початком емпіричного мовленнєвого спілкування.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Поряд із мимовільним запам’ятову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ванням у дошкільному віці поступово розвивається й довільне (цілеспрямо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ване,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ідоме, кероване вольовими зусиллями). П’яти-шестирічні діти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домо намагаються запам’ятати іншо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мовні слова й докладають зусиль для пригадування їх, хоча домінуючу роль усе ж таки відіграє саме мимовільне запам’ятовування.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Одна з найважливіших передумов успішного навчання іноземної мови — увага дошкільнят. Діти цього віку ще не мають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ст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ійкої цілеспрямованої ува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ги, не можуть тривалий час зосере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джуватися на одному завданні. Тому в роботі з ними слід використовувати такі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вправи та ігри, які б допомагали урізноманітнювати види дитячої діяль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ності (при тому, що навчання дошкіль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нят іноземної мови є особливим видом освітньої діяльності).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Малюки оволодівають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чужою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мовою практично, іміту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ючи та автоматизуючи певні мовленнєві зразки у певних ситуаціях, хоча ще не знають жодних граматичних пра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вил. Тому на початковому етапі навчання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доц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ільно вда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ватися до так званого наслідувального, або усного методу, який ґрунтується на природному дарі людини — імітації. Спирання саме на принцип усної основи має ряд об’єктивних підстав. У процесі навчання діти дошкільного ві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ку не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вивчають складові частини не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відомої мови, а відразу опановують її як засіб спіл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кування, засвоюючи як окремі слова, так і цілі син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таксичні конструкції, особливості вимови тощо. Мова в цьому процесі виступає водночас предметом і засо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бом навчання. Такий усний “вступний курс” створює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ґрунтя для подальшого оволодіння читанням та пись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мом як самостійними видами мовленнєвої діяльності.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uk-UA" w:eastAsia="ru-RU"/>
        </w:rPr>
        <w:t xml:space="preserve">        </w:t>
      </w: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Оптимальний час початку навчання іноземної мови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Як уже зазначалося, актуальним є питання щодо ви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бору оптимального часу початку навчання дошкільнят іноземної мови. Цей вибі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зумовлюється середовищем, у якому виховується малюк (сім’я, дошкільний заклад, позашкільний навчальний заклад), пев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ними особливостями його розвитку (зокрема, наявністю чи відсутністю відхилень, затримок або випереджань вікової норми), мовною ситу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ацією у родині (якою мовою розмовляють рідні, чи володіє хтось із них іноземною мовою), функ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ціонуванням даної мови у суспільстві (наскільки вона популярна, поширена, використовувана) та рядом інших чинникі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Враховуючи це, навчання дитини другої мови можна розпочинати у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ізні строки.</w:t>
      </w:r>
    </w:p>
    <w:p w:rsidR="00A3372D" w:rsidRPr="00A3372D" w:rsidRDefault="00A3372D" w:rsidP="00A33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Від народження. При цьому хтось із бать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ків,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ідних чи няня (гувернантка) має бути носі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єм другої мови або досконало знати її, діяти за принципом “одна особа — одна мова”, постій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 спілкуватися з малюком цією мовою, не пе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реходячи на іншу.</w:t>
      </w:r>
    </w:p>
    <w:p w:rsidR="00A3372D" w:rsidRPr="00A3372D" w:rsidRDefault="00A3372D" w:rsidP="00A33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Із трьох років. Трирічна дитина, зазвичай, уже говорить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ідною мовою, має певне коло уявлень про себе й навколишній світ, на які може спи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ратись, опановуючи іноземну мову. Вона також здатна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адекватно сприймати спілкування з носієм іншої мови чи педагогом (вихователем, учителем, гувернером або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що)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родин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і, у дошкільному чи позашкільному закладі, навчитися відповідати іноземною мовою. Малюка можна залучати до спільних дій та рухі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разом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із дорослим, до пантоміми, промовляння хором. Основу роботи станов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лять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прост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 мовленнєві ігри та ігрові вправи сенсорно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го, рухового, комунікатив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ного характеру.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Тут варто зазначити, що більшість дошкільнят почи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нає вивчати іноземну мову з радістю, охоче, проте до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сить швидко (вже через кілька занять) у переважної частини малят цей інтерес слабша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є,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згасає. Це пояс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нюється несформованістю у дітей мотивації до такого навчання, основою якого було б розуміння, чим ва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жливе знання іноземної мови для подальшого д рослого життя.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 4 роки дошкільник уже впевненіше діє в уявних ситуаціях спілкування іно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земною мовою, використовує засвоєні слова, обміню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ється простими репліками. Він краще сприймає пояс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нення дорослих щодо створюваної мовленнєвої ситуації, виконує складніші ігрові дії в рухливих, дидактичних і творчих іграх. Цьому вікові притаманні також перші про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яви інтересу до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іокультурного аспекту навчання іно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земної мови, а саме: до свят деяких звичаїв і традицій, казкового фольклору іншого народу, національного одягу тощо.</w:t>
      </w:r>
    </w:p>
    <w:p w:rsidR="00A3372D" w:rsidRPr="00A3372D" w:rsidRDefault="00A3372D" w:rsidP="00A337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старшому дошкільному віці (5-7 років). Розви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ток фізіологічних і психічних процесів старшого дошкіль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ника досягає того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івня який забезпечує передумови для системного іншомовного навчання. П’яти-шестирічній дитині вже по силі успішно й зацікавлено оволодіва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ти іноземною мовою завдяки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ідомому й мотивованому навчанню. Вона здатна ставитися до неї як до предмета вивчення, порівнюючи її з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ідною мовою, запитуючи дорослого, комбінуючи знайомі елементи, індивідуалізуючи власні репліки тощо.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            У дошкільних навчальних закладах в умовах штуч</w:t>
      </w:r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softHyphen/>
        <w:t xml:space="preserve">ного білінгвізму </w:t>
      </w:r>
      <w:proofErr w:type="gramStart"/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доц</w:t>
      </w:r>
      <w:proofErr w:type="gramEnd"/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ільно розпочинати вивчення іно</w:t>
      </w:r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softHyphen/>
        <w:t>земної мови як загальну практику з 5 років. Педагоги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 мають враховувати, що залучати дитину до вивчення іноземної мови в групі разом з іншими дітьми можна за умови її нормального загального розвитку й сформованості мовленнєвих умінь, коли вона вже засвоїла норми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ідної мови й готова оволодівати іншою. Ось чому пи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тання щодо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вікових термі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початку навчання слід вирі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шувати щодо кожної дитини індивідуально, обираючи нормативні строки чи відкладаючи цю справу на майбут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нє (або ж розпочинати її раніше). Ця проблема має роз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в’язуватися лише в інтересах малюка, щоб вивчення нової мови було для нього цікавим процесом відкриттів та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нання, позитивно впливало на становлення підґрунтя особистісної культури й не зумовлювало фізичну та психіч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ну втому, не було джерелом негативних емоцій.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center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Вибі</w:t>
      </w:r>
      <w:proofErr w:type="gramStart"/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 xml:space="preserve"> програми навчання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Попри те, що впродовж останнього часу навчання іно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земної мови (особливо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ійської) у період дошкіль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ного дитинства стало вельми популярним, усе ж таки воно має здебільшого пробний, невнормований харак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тер і здійснюється за розрізненими авторськими про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грамами та методиками (які мають право на існування в освітньому просторі дошкілля).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При виборі програми з навчання дошкільнят іноземної мови головними крите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ріями мають слугувати: відповідність віковим можливос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тям, інтересам і потребам дітей; забезпечення наступ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ності між дошкільною та шкільною ланками іншомовної освіти шляхом урахування вимог програм для другого класу загальноосвітньої школи та першого класу спеці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алізованої школи.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Важливий показник гарантованої якості обраної програми — затвердження її у методичних ін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ституціях (у науково-методичних центрах при відділах, управліннях освіти районів, мі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ст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 областей; на засіданнях учених рад інститутів післядипломної педагогічної освіти).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метою оптимальної стандартизації змісту та обсягів навчального матеріалу практикам були запропоновані програма “Англійська мова для дітей дошкільного віку” з методичними рекомендаціями та збірка занять до неї (автор Т.М. Шкваріна), успішно апробовані в до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вільних навчальних закладах та затверджені Міністер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ством освіти і науки України. Згадуваний навчально-медичний комплект, укладений відповідно до вимог державного стандарту іншомовної освіти для початко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ві школи, може забезпечити реалізацію пропедевтичного» курсу навчання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ійської мови в дошкільному віці. Цю програму доцільно взяти за основу, організовуючи навчання англійської мови дітей 5-6-річного віку, яке є найбільш масовим у дошкільних та позашкільних закла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дах і популярним серед батькі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Зазначена програма проголошує основною метою навчання іноземної мови у дошкільному закладі; сприяння своєчасному, повноцінному роз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витку дитячої особистості; збагачення її інтелекту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альної, вольової, емоційної, моральної та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іаль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ної сфер; створення сприятливих умов для оволодіння дитиною основами іншомовного спіл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кування на базі збалансованого досягнення освіт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ніх (розвивальних, виховних, навчальних) та прак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тичних цілей. При цьому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іоритетного значення набуває реалізація саме освітніх цілей, оскільки процес навчання іноземної мови має допомогти розкрити особистий потенціал дитини з урахуван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ням її вікових можливостей та індивідуальних особ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ливостей. Практична мета навчання іноземної мови — формування елементарної іншомовної ком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петенції — розглядається як вторинна щодо них.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center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val="uk-UA" w:eastAsia="ru-RU"/>
        </w:rPr>
        <w:t>Завдання, зміст і методи навчання іноземної мови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Відповідно до визначеної мети основними зав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даннями навчання іноземної мови дітей до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шкільного віку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A3372D" w:rsidRPr="00A3372D" w:rsidRDefault="00A3372D" w:rsidP="00A3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виховання інтересу, поваги, толерантності і цінніс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ного ставлення до культури, традицій та звичаїв народі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 які розмовляють іншою мовою;</w:t>
      </w:r>
    </w:p>
    <w:p w:rsidR="00A3372D" w:rsidRPr="00A3372D" w:rsidRDefault="00A3372D" w:rsidP="00A3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ознайомлення з елементами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іокультури іншо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мовних країн;</w:t>
      </w:r>
    </w:p>
    <w:p w:rsidR="00A3372D" w:rsidRPr="00A3372D" w:rsidRDefault="00A3372D" w:rsidP="00A3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прищеплення елементарних навичок усного мов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лення (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ауд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іювання, говоріння);</w:t>
      </w:r>
    </w:p>
    <w:p w:rsidR="00A3372D" w:rsidRPr="00A3372D" w:rsidRDefault="00A3372D" w:rsidP="00A3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створення умов для оволодіння елементарним умін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ням спілкуватись іноземною мовою у межах комуні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кативного мінімуму, пов’язаного зі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ітом дитинства;</w:t>
      </w:r>
    </w:p>
    <w:p w:rsidR="00A3372D" w:rsidRPr="00A3372D" w:rsidRDefault="00A3372D" w:rsidP="00A3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сприяння набуттю початкових лінгвістичних знань;</w:t>
      </w:r>
    </w:p>
    <w:p w:rsidR="00A3372D" w:rsidRPr="00A3372D" w:rsidRDefault="00A3372D" w:rsidP="00A3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розвиток мовленнєвих здібностей;</w:t>
      </w:r>
    </w:p>
    <w:p w:rsidR="00A3372D" w:rsidRPr="00A3372D" w:rsidRDefault="00A3372D" w:rsidP="00A3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залучення дитячого досвіду спілкування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ідною мовою для навчання спілкуватись іноземною;</w:t>
      </w:r>
    </w:p>
    <w:p w:rsidR="00A3372D" w:rsidRPr="00A3372D" w:rsidRDefault="00A3372D" w:rsidP="00A3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виховання культури та відкритості спілкування.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Процес навчання дошкільнят іноземної мови будується за рядом загальнодидактичних та методичних принци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пів. Серед загальнодидактичних першорядного зна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чення набувають принципи наочності, доступності, міц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ності та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ідомості знань, науковості, активності, систематичності й послідовності, концентричності і пов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торюваності, індивідуалізації, розвивального і виховно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го навчання. Найважливішими методичними принци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пами у дошкільній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 xml:space="preserve">лінгводидактиці є принципи комунікативності, домінуючої ролі вправ, взаємозв’язку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ізних видів мовленнєвої діяльності, урахування рідної мови. Ця система доповнюється також деякими принци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пами, запозиченими з методик інтенсивного навчання, зокрема, принципом поетапно-концентрованої органі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зації навчального процесу.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ст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навчання іноземної мови в сучасному дошкіль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ному закладі дібраний автором відповідної програми Т.М.Шкваріною з урахуванням: забезпечення наступності іншомовного навчання у дошкільному та молодшому шкільному віці; мотивації, змісту й характеру спілкуван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ня дітей; частотності вживання лексичних одиниць діть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ми певного віку; забезпечення повторюваності оперу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вання лексичними одиницями, зразками мовлення, дібраними для вивчення та опрацювання у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ізних ситуа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ціях спілкування та мовленнєвих функціях; поступового ускладнення матеріалу в умовах системного навчання.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огляду на те, що дошкільна освіта спрямована на формування у кожної дитини життєвої компетенції, то й іншомовна комунікативна компетенція (як її складова) також має формуватися за основними сферами життєді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яльності, визначеними Базовим компонентом дошкіль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ної освіти. Відповідно до кожної сфери життєдіяльності педагог планує навчальний матеріал (лексичний, фоне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тичний, граматичний, зразки мовлення) за такими орієнтовними темами спілкування: у сфері “Люди” — Знайомство”, “Моя сі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м’я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”, у сфері “Природа” — “Тва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рини”, “Їжа”, “Овочі і фрукти”, “Пори року”; у сфері “Куль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тура” — “Будинок”, “Меблі”, “Одяг”, “Ігри”; у сфері “Я сам”— “Тіло людини”, “Робочий день”.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Ц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 теми можна варіювати, змінювати. Оскільки педагоги мають право користуватися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ізними посібниками та альтернативними програмами, не варто жорстко регламентувати, норму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вати зміст та обсяг навчального матеріалу.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ідовність опрацювання тем має визначатися логікою появи та ускладнення комунікативних функцій: від слухання й ро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зуміння до говоріння. Відтак, плануючи систему занять на навчальний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ік, педагог самостійно визначає послі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довність тем, добірку основних мовленнєвих зразків, сут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ність спілкування та дидактичних матеріалів для їх опра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цювання з дітьми.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center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lastRenderedPageBreak/>
        <w:t>Форми організації роботи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t>Навчання іноземної мови в дошкільному закладі є системою спеціально організованої педагогом діяльності вихованців, що спирається на інтерес та активність до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softHyphen/>
        <w:t>шкільнят, сприяє розвиткові їхніх особистостей, реа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softHyphen/>
        <w:t>лізації індивідуального досвіду кожного з них та вияву якостей, необхідних для успішного засвоєння мінімізо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softHyphen/>
        <w:t xml:space="preserve">ваного обсягу знань та вмінь.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Організація життєдіяльності дітей багато в чому визначається тим, хто саме навчає їх іноземної мови в дошкільному закладі. Зокрема, це може бути вихователь певної групи з правом навчання інозем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ної мови, який працює з дітьми постійно й сам обирає зручний для цієї роботи час протягом дня (заняття з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групами у першій чи другій половині дня, ігри, розваги, спілкування іноземною мовою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 час спостережень, праці, побутових процесів та ін.). Коли ж таке навчання здійснює спеціально запрошений педагог, тоді склада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ється окремий графік занять з урахуванням кількості уко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мплектованих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ідгруп дітей.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Основна форма організації роботи з навчання дошкіль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нят іноземної мови — це заняття. Оптимальна частот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ність проведення цих занять на тиждень — від 2-3 (якщо заняття має форму гурткової роботи — при значній кіль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кості сформованих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ідгруп дітей) до 4 (якщо кількість підгруп незначна й може передбачатися заняття з кож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ною дитиною у графіку роботи педагога; а також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тому разі, якщо заняття проводить безпосередньо вихователь із дітьми своєї вікової групи).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Визначаючи місце занять з іноземної мови у режимі дня дошкільного закладу,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доц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ільніше орієнтуватися на час, відведений для ігор та самостійної діяльності дітей, і планувати проведення цих занять у другій половині дня (до вечері). При цьому вихователь, який сам навчає іноземної мови дітей своєї вікової групи, може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доц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ільні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ше передбачати час для відповідних занять з ними про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тягом дня (з однією підгрупою — у першій половині дня, з іншою — у другій), обов’язково дотримуючись норм навчального навантаження (зокрема, з дітьми старшої групи проводяться не більше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трьох занять на тиждень у першій половині дня).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Отже, розклад занять з інозем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ної мови має узгоджуватися з розкладом основних занять за певними віковими групами та з розкла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дом роботи гуртків інших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ільних напрямів. Це робиться для того, щоб раціональніше використовувати приміщення в дитсадку й не дублювати ті види діяльності та завдань,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на яких будуються навчальні заняття за чин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ною програмою розвитку, навчання і виховання дошкіль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нят, а також задля врегулювання фізичних і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ічних навантажень на дітей з урахуванням перебігу їхньої пра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цездатності впродовж дня.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Тривалість заняття з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ідгрупою 5-річних дітей — 20- 25 хвилин; із 6-річними дітьми, які продовжують перебувати в дошкільному закладі, — до ЗО хвилин.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Педагогові варто пам’ятати: досягненню вищої резуль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тативності, максимальному виявленню нахилів і здібнос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тей вихованців, дієвішому особистісному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ідходу до розвитку й навчання кожної дитини сприяє оптимальна наповнюваність підгруп — у них має бути по 6-8 малят (до десяти).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ідгрупи для занять іноземною мовою ком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плектуються з огляду на попит батьків, а найголовні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ше—з урахуванням зацікавлень, бажань та здібностей самих дітей. Будь-яка примусовість у залученні їх до від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відування занять із іноземної мови виключається, особ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ливо, в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тих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випадках, коли ця додаткова освітня послуга надається на платній основі.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Провідним методом і засобом навчання та вправлян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ня на заняттях з іноземної мови виступають дидактичні ігри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основі елементарної лексики дитячого спілку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вання. Зокрема, використовуються такі види їх: мовні (фонетичні — на формування навичок правильної іншої звуковимови; лексичні та граматичні засвоєння базової лексики і граматичних структур); мовленнєві — на фор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мування та розвиток елементарних навичок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ауд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іювання та говоріння; комунікативні — на формування навичок спілкування.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center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Використання ігор та наочності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t>Природного характеру мотивації мовленнєвої діяль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softHyphen/>
        <w:t xml:space="preserve">ності дитини на заняттях із вивчення іноземної мови надає гра як провідний вид діяльності дошкільняти.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Мета ігрової діяльності на цих заняттях — зробити їх цікавими, бажаними для дитини, активізувати резерви мимовільного та потенціал довільного запам’ятовування й осмислення в межах ігрового контексту, досягти успіху в розв’язанні комунікативних завдань іншомовними засобами.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Отже, радимо організовувати заняття з іноземної мови в дошкільному закладі як специфічну цільову ігрову діяльність, куди входять сюжетно-рольові, театралізо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вані, дидактичні (словесні,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настільно-друковані, з іграш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ками та картинками та ін.), рухливі, комп’ютерні, музич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ні ігри.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Ц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 ігри, зумовлені рядом правил, отримують у своєму перебігу лаконічне словесне вираження і про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понують дітям для багаторазового повторення по кілька мовленнєвих зразків, чим забезпечують варіативно-си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туативне вправляння у слуханні та говорінні.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ідовне введення педагогом ігрових елементів (ігор та ігрових вправ) у всі етапи навчання і в кожний етап заняття створює загальну ігрову атмосферу. Тоді модельною схемою стає уявна ігрова ситуація, що охоп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лює все заняття. Разом з тим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ход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 занять не слід пере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творювати ігри у самоціль, а самі заняття — на суцільні розваги. Обов’язкове правило: гра має бути педагогічно й методично цілеспрямованою. Тільки тоді вона стане не дійовим засобом оптимізації та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ідвищення ефектив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ності навчання іноземної мови.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Доц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ільно варіювати ігрові завдання, щоб забезпечи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ти засвоєння дітьми більшого обсягу мовленнєвого ма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теріалу, формування міцніших початкових навичок мо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нологічного та діалогічного мовлення.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Заняття з іноземної мови варто планувати з дотри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манням циклічності вивчення розмовних тем, мовного та мовленнєвого матеріалу. Її основу складають такі види навчання: І — введення нового матеріалу (первинне озна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йомлення); II — поглиблене вивчення матеріалу (трену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вання у спілкуванні); III — закріплення і вдосконалення знань та навичок (тактика спілкування з використанням введеного мовного матеріалу).</w:t>
      </w:r>
      <w:proofErr w:type="gramEnd"/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Новий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іал на заняттях з іноземної мови закріп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люється шляхом індивідуального та хорового промов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ляння лексичних одиниць та граматичних конструкцій. Коли є змога,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ісля цього вихователь перевіряє, як діти засвоїли введений матеріал, пропонуючи їм цікаві ігри та ігрові вправи на впізнавання предметів тощо. Щоб дітям було легше запам’ятовувати фрази, використовує наочні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ідказки (предмети, картинки).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подальшим роз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витком у дошкільнят словесно-логічної пам’яті (поряд із образною) наочну підказку можна обмежити.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Принагідно зазначимо, що на кожному занятті з іноземної мови слід широко застосовувати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ізноманітну </w:t>
      </w:r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наочність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, для кращого запам’ятовування дітьми мовленнєвого матеріалу і як засіб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семантизації (з’ясування значення слів, зворотів тощо). Вар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то, зокрема надавати перевагу предметній наочності (іграшки, реальні речі, макети) та ілюстративній (картини, ілюстрації, слайди, кадри діафільмі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та ін.). Показ може супроводжуватися мі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ікою, жестами, певним рухом, дією, що сприяє кращій семантизації слів. Надзвичайно цінним у такій роботі є елемент здогаду — він зацікавлює дітей, розвиває самостійне мислення.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center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Мовний режим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Якщо малятам важко семантизувати лексичні одиниці, педагог вдається до перекладу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ідною мовою. Діти мають розуміти все, про що йдеться на занятті, а тому в разі потреби він пояснює їм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ідною мовою артикуляцію звуків, правила гри тощо. Її пряме використання обмежується тоді, коли всі діти розуміють та адекватно реагують на прості звертання, вказівки, прохання іноземною мовою.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Оскільки вихователі та обслуговуючий персонал, зазвичай, вільно не володіють іноземною мовою, неможливо створити в дошкільному закладі умови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постій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ного “занурення” дітей у потік іншомовного мовлення. Відповідно це відбувається лише на заняттях з інозем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ної мови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 час безпосередньої роботи педагога з ви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хованцями. Тут усі дії дорослого, його поведінка асоцію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ються дітьми з ужиттям іншої мови. Працюючи з дошкільнятами, він може забезпечити домінуюче звучання іноземної мови, постійно супроводжуючи й коментуючи нею власні дії та дії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ітей без зайвих пояснень-розшифровок у спеціально створюваному просто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рі ситуативного спілкування та цікавої діяльності, що спонукає дітей до зворотного комунікативного зв’язку. Позитивні результати такої педагогічної практики є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ченням ефективності подібного методичного підходу.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 заняттях з іноземної мови застосовуються також </w:t>
      </w:r>
      <w:r w:rsidRPr="00A3372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комп’ютерні програми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 навчання і контролю засвоєння мови в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ізних режимах, з різними рівнями складності. Вони останнім часом активно розробляються і впрова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джуються в навчально-виховний процес дошкільного за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кладу.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Значне місце у навчанні дошкільнят іноземної мови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пос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ідає використання пісеньок, віршиків, лічилок та інших малих літературних форм. Діти емоційніше сприймають римований текст,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легше й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міцніше запам’ятовують його. Щоб уникнути механічного запам’ятовування й відтворювання віршів без усвідомлення їхнього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зміс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ту, важливо закріплювати потрібні для активізації лексич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ного запасу слова та зразки мовлення поза віршовано-пісенним контекстом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спеціально дібраних мовних вправах та іграх.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 час розучування малих віршованих та пісенних форм також доцільно спиратися на наочність.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center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 xml:space="preserve">Інтегрований </w:t>
      </w:r>
      <w:proofErr w:type="gramStart"/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ідхід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t>З урахуванням інтегрованого і діяльнісного підходів, які активно впроваджуються у навчально-виховний про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softHyphen/>
        <w:t xml:space="preserve">цес сучасного дошкільного закладу, заняття з іноземної мови мають органічно інтегрувати у своїй структурі види діяльності, значущі для розвитку дошкільняти.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Так, на тлі мовленнєвого спілкування та ігрової форми навчан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ня педагог використовує елементи:</w:t>
      </w:r>
    </w:p>
    <w:p w:rsidR="00A3372D" w:rsidRPr="00A3372D" w:rsidRDefault="00A3372D" w:rsidP="00A33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рухової діяльності (фізкультпаузи з кількох простих вправ у супроводі окре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мих вказівок, команд чи римованих текстів; рухливі ігри; рухові вправи; імітації рухів тварин чи предметів; зма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гання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рухах тощо);</w:t>
      </w:r>
    </w:p>
    <w:p w:rsidR="00A3372D" w:rsidRPr="00A3372D" w:rsidRDefault="00A3372D" w:rsidP="00A33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образотворчості (малювання, ліп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лення за завданням педагога, за власним задумом, із подальшим відгадуванням зображеного та описом його);</w:t>
      </w:r>
    </w:p>
    <w:p w:rsidR="00A3372D" w:rsidRPr="00A3372D" w:rsidRDefault="00A3372D" w:rsidP="00A33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трудової діяльності (доручення із самообслуговування, господарсько-побутової праці, праці у природі, чергу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вання на заняттях; ручна праця: робота з папером, ножицями, клеєм, тканиною, природним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іалом та ін.);</w:t>
      </w:r>
    </w:p>
    <w:p w:rsidR="00A3372D" w:rsidRPr="00A3372D" w:rsidRDefault="00A3372D" w:rsidP="00A33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театралізованої (драматизації, театралізації із се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рією попередніх репетицій);</w:t>
      </w:r>
    </w:p>
    <w:p w:rsidR="00A3372D" w:rsidRPr="00A3372D" w:rsidRDefault="00A3372D" w:rsidP="00A33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музичної діяльності (спів, танцювальні рухи до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ісеньок, рухливих ігор та ін., інструкції щодо їх виконання).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Якщо навчання іноземної мови здійснює сам вихова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тель із дітьми своєї вікової групи, він має більше можли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востей для організації цієї роботи не лише на заняттях, а й у повсякденні: проводячи бесіди за ілюстраціями до книжок, переглядаючи діафільми за казками, розмовля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ючи з дошкільнятами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 час підготовки до прийому їжі й за їжею, вдягання та роздягання, на прогулянках, у самостійній ігровій, руховій діяльності та ін. У міру за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своєння дітьми програмового матеріалу готує з ними звітні (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ідсумкові) розваги (свята) іноземною мовою для батьків та інших вихованців дитсадка.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center"/>
        <w:rPr>
          <w:rFonts w:ascii="Bookman Old Style" w:eastAsia="Times New Roman" w:hAnsi="Bookman Old Style" w:cs="Times New Roman"/>
          <w:color w:val="C00000"/>
          <w:sz w:val="28"/>
          <w:szCs w:val="28"/>
          <w:lang w:val="uk-UA" w:eastAsia="ru-RU"/>
        </w:rPr>
      </w:pPr>
      <w:r w:rsidRPr="00A3372D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lastRenderedPageBreak/>
        <w:t>Планування роботи та контроль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Навчання іноземної мови у дошкільному навчальному закладі проводиться на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ідставі перспективного та календарного планування, рекомендацій щодо орга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нізації і планування гурткової роботи (“Дошкільне виховання”, 2004, № 11).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Перспективний план — пе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реважно у графічно-текстовій формі — розробляється мінімум на один місяць (поширеним і виправданим є таке планування й на весь навчальний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ік, півріччя або квар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тал). У ньому зазначаються: теми занять із певних сфер життєдіяльності; типи їх і терміни проведення; мета за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нять; мовний матеріал (фонетичний, лексико-граматич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ний) відповідно до функцій спілкування; добірка основних дидактичних засобів (ігор, вправ, літератур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них форм —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ісеньок, віршів, лічилок тощо).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Календарно-тематичний план складається на 1-2 найближчі дні (мож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на також на весь поточний тиждень). Він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розробки занять із зазначенням теми і типу, програмових завдань, перелік обладнання та атрибутів, записи схематичного ходу кожного заняття. При складанні плану враховуєть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ся й те, чи буде змога закріплювати поданий на заняттях матеріал у повсякденному житті дітей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 час ігор, пра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ці, спостережень, рухової діяльності тощо.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Педагог здійснює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ізні види контролю (поточний, те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матичний, підсумковий тощо) для оцінювання рівня сформованості іншомовних мовленнєвих навичок та вмінь ді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тей, а також для забезпечення зворотного зв’язку — щоб отримати інформацію про ефективність обраних форм, методів, прийомів, засобів та режимів освітньої роботи з дітьми і своєчасно внести відповідні корективи. При цьому він не виставляє оцінки чи бали, а лише фіксує успішність і неуспішність дітей в опануванні іноземної мови. Дані тематичного та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ідсумкового контролю фік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сує в окремому зошиті умовними позначками, найзруч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ніше — у формі таблиці.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Поточний контроль на кожному занятті не потребує та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кої фіксації: тут педагог отримує інформацію про роботу дітей, спостерігаючи за ними, й тактовно виправляє помил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ки, схвалює і заохочує малят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ході заняття. Наприкінці навчального року оцінює результати, які здобула кожна дитина в ході навчання іноземної мови (чи виявляє інтерес до неї; сприймає звертання педагога і дітей іноземною мовою; адекватно реагує на них у свої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х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відповідях; розу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міє окремі 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 xml:space="preserve">висловлювання;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сама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будує фрази і ряд логічно пов’язаних висловлювань; виконує ігрові завдання; відтво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рює віршики, лічилки,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ісеньки іноземною мовою, засто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совуючи засвоєні програмні зразки мовлення).</w:t>
      </w:r>
    </w:p>
    <w:p w:rsidR="00A3372D" w:rsidRPr="00A3372D" w:rsidRDefault="00A3372D" w:rsidP="00A3372D">
      <w:pPr>
        <w:shd w:val="clear" w:color="auto" w:fill="FFFFFF"/>
        <w:spacing w:after="240" w:line="360" w:lineRule="atLeast"/>
        <w:ind w:firstLine="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Педагоги мають право на вияв творчості у виборі на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>вчальних програм, на варіативний розподіл навчально</w:t>
      </w:r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softHyphen/>
        <w:t xml:space="preserve">го матеріалу та використання </w:t>
      </w:r>
      <w:proofErr w:type="gramStart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</w:t>
      </w:r>
      <w:proofErr w:type="gramEnd"/>
      <w:r w:rsidRPr="00A3372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ізних форм, методів і прийомів, засобів навчання дошкільнят іноземної мови.</w:t>
      </w:r>
    </w:p>
    <w:p w:rsidR="00574AD6" w:rsidRPr="00A3372D" w:rsidRDefault="00574AD6" w:rsidP="00A3372D">
      <w:pPr>
        <w:ind w:firstLine="284"/>
        <w:rPr>
          <w:rFonts w:ascii="Bookman Old Style" w:hAnsi="Bookman Old Style"/>
          <w:sz w:val="28"/>
          <w:szCs w:val="28"/>
        </w:rPr>
      </w:pPr>
    </w:p>
    <w:sectPr w:rsidR="00574AD6" w:rsidRPr="00A3372D" w:rsidSect="00A3372D">
      <w:pgSz w:w="11906" w:h="16838"/>
      <w:pgMar w:top="1134" w:right="850" w:bottom="1134" w:left="993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906"/>
    <w:multiLevelType w:val="multilevel"/>
    <w:tmpl w:val="7728C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525F4"/>
    <w:multiLevelType w:val="multilevel"/>
    <w:tmpl w:val="5DAC2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A50BA"/>
    <w:multiLevelType w:val="multilevel"/>
    <w:tmpl w:val="4E7A0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46D98"/>
    <w:multiLevelType w:val="multilevel"/>
    <w:tmpl w:val="6576C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3372D"/>
    <w:rsid w:val="00574AD6"/>
    <w:rsid w:val="00A3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6"/>
  </w:style>
  <w:style w:type="paragraph" w:styleId="1">
    <w:name w:val="heading 1"/>
    <w:basedOn w:val="a"/>
    <w:link w:val="10"/>
    <w:uiPriority w:val="9"/>
    <w:qFormat/>
    <w:rsid w:val="00A3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72D"/>
    <w:rPr>
      <w:b/>
      <w:bCs/>
    </w:rPr>
  </w:style>
  <w:style w:type="character" w:styleId="a5">
    <w:name w:val="Emphasis"/>
    <w:basedOn w:val="a0"/>
    <w:uiPriority w:val="20"/>
    <w:qFormat/>
    <w:rsid w:val="00A337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4560</Words>
  <Characters>25997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2019-02-04T09:52:00Z</dcterms:created>
  <dcterms:modified xsi:type="dcterms:W3CDTF">2019-02-04T09:57:00Z</dcterms:modified>
</cp:coreProperties>
</file>